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B9307E" w:rsidRDefault="00D553DE">
      <w:pPr>
        <w:rPr>
          <w:rFonts w:ascii="Lato" w:hAnsi="Lato" w:cs="Arial"/>
          <w:sz w:val="22"/>
        </w:rPr>
      </w:pPr>
    </w:p>
    <w:p w14:paraId="5145A14C" w14:textId="77777777" w:rsidR="00D553DE" w:rsidRPr="00B9307E" w:rsidRDefault="00D553DE">
      <w:pPr>
        <w:rPr>
          <w:rFonts w:ascii="Lato" w:hAnsi="Lato" w:cs="Arial"/>
          <w:b/>
          <w:sz w:val="22"/>
        </w:rPr>
      </w:pPr>
      <w:r w:rsidRPr="00B9307E">
        <w:rPr>
          <w:rFonts w:ascii="Lato" w:hAnsi="Lato" w:cs="Arial"/>
          <w:b/>
          <w:sz w:val="22"/>
        </w:rPr>
        <w:t>In this issue:</w:t>
      </w:r>
    </w:p>
    <w:p w14:paraId="7749C1CA" w14:textId="77777777" w:rsidR="00E9197F" w:rsidRPr="00B9307E" w:rsidRDefault="00E9197F" w:rsidP="00E9197F">
      <w:pPr>
        <w:pStyle w:val="ListParagraph"/>
        <w:numPr>
          <w:ilvl w:val="0"/>
          <w:numId w:val="1"/>
        </w:numPr>
        <w:rPr>
          <w:rFonts w:ascii="Lato" w:hAnsi="Lato" w:cs="Arial"/>
          <w:sz w:val="22"/>
        </w:rPr>
      </w:pPr>
      <w:r w:rsidRPr="00B9307E">
        <w:rPr>
          <w:rFonts w:ascii="Lato" w:hAnsi="Lato" w:cs="Arial"/>
          <w:sz w:val="22"/>
        </w:rPr>
        <w:t>Chapter item 1</w:t>
      </w:r>
    </w:p>
    <w:p w14:paraId="23FBDC4D" w14:textId="77777777" w:rsidR="008E53C5" w:rsidRPr="00B9307E" w:rsidRDefault="00E9197F" w:rsidP="008E53C5">
      <w:pPr>
        <w:pStyle w:val="ListParagraph"/>
        <w:numPr>
          <w:ilvl w:val="0"/>
          <w:numId w:val="1"/>
        </w:numPr>
        <w:rPr>
          <w:rFonts w:ascii="Lato" w:hAnsi="Lato" w:cs="Arial"/>
          <w:sz w:val="22"/>
        </w:rPr>
      </w:pPr>
      <w:r w:rsidRPr="00B9307E">
        <w:rPr>
          <w:rFonts w:ascii="Lato" w:hAnsi="Lato" w:cs="Arial"/>
          <w:sz w:val="22"/>
        </w:rPr>
        <w:t>Chapter item 2</w:t>
      </w:r>
      <w:r w:rsidRPr="00B9307E">
        <w:rPr>
          <w:rFonts w:ascii="Lato" w:hAnsi="Lato" w:cs="Arial"/>
          <w:sz w:val="22"/>
        </w:rPr>
        <w:br/>
      </w:r>
    </w:p>
    <w:p w14:paraId="11684A56" w14:textId="73633AB1" w:rsidR="00440FAE" w:rsidRPr="00B9307E" w:rsidRDefault="00E9197F" w:rsidP="00440FAE">
      <w:pPr>
        <w:rPr>
          <w:rFonts w:ascii="Lato" w:hAnsi="Lato" w:cs="Arial"/>
          <w:b/>
          <w:bCs/>
          <w:sz w:val="22"/>
        </w:rPr>
      </w:pPr>
      <w:r w:rsidRPr="00B9307E">
        <w:rPr>
          <w:rFonts w:ascii="Lato" w:hAnsi="Lato" w:cs="Arial"/>
          <w:b/>
          <w:bCs/>
          <w:sz w:val="22"/>
        </w:rPr>
        <w:t>From National MOAA</w:t>
      </w:r>
      <w:r w:rsidR="00313A92" w:rsidRPr="00B9307E">
        <w:rPr>
          <w:rFonts w:ascii="Lato" w:hAnsi="Lato" w:cs="Arial"/>
          <w:b/>
          <w:bCs/>
          <w:sz w:val="22"/>
        </w:rPr>
        <w:t>:</w:t>
      </w:r>
    </w:p>
    <w:p w14:paraId="0B191644" w14:textId="77777777" w:rsidR="00ED2201" w:rsidRPr="00ED2201" w:rsidRDefault="00ED2201" w:rsidP="00ED2201">
      <w:pPr>
        <w:rPr>
          <w:i/>
          <w:iCs/>
        </w:rPr>
      </w:pPr>
      <w:hyperlink r:id="rId11" w:history="1">
        <w:r w:rsidRPr="00ED2201">
          <w:rPr>
            <w:rStyle w:val="Hyperlink"/>
            <w:i/>
            <w:iCs/>
          </w:rPr>
          <w:t>MOAA on the Hill: CEO Outlines Key Priorities at Joint Veterans Hearing</w:t>
        </w:r>
      </w:hyperlink>
    </w:p>
    <w:p w14:paraId="707A2875" w14:textId="649DD36B" w:rsidR="003D7C58" w:rsidRPr="003D7C58" w:rsidRDefault="003D7C58" w:rsidP="003D7C58">
      <w:pPr>
        <w:pStyle w:val="NoSpacing"/>
        <w:pBdr>
          <w:bottom w:val="single" w:sz="4" w:space="1" w:color="auto"/>
        </w:pBdr>
      </w:pPr>
      <w:hyperlink r:id="rId12" w:history="1">
        <w:r w:rsidRPr="003D7C58">
          <w:rPr>
            <w:rStyle w:val="Hyperlink"/>
          </w:rPr>
          <w:t>Surviving Spouse Corner: Strengthening Emotional Well-Being</w:t>
        </w:r>
      </w:hyperlink>
    </w:p>
    <w:p w14:paraId="6F2069DF" w14:textId="77777777" w:rsidR="004C4E3C" w:rsidRPr="00B9307E" w:rsidRDefault="004C4E3C" w:rsidP="00A97B7D">
      <w:pPr>
        <w:pStyle w:val="NoSpacing"/>
        <w:pBdr>
          <w:bottom w:val="single" w:sz="4" w:space="1" w:color="auto"/>
        </w:pBdr>
        <w:rPr>
          <w:rFonts w:ascii="Lato" w:hAnsi="Lato"/>
          <w:sz w:val="22"/>
        </w:rPr>
      </w:pPr>
    </w:p>
    <w:p w14:paraId="7CBC6238" w14:textId="77777777" w:rsidR="004C4E3C" w:rsidRPr="00B9307E" w:rsidRDefault="004C4E3C" w:rsidP="00313A92">
      <w:pPr>
        <w:pStyle w:val="NoSpacing"/>
        <w:rPr>
          <w:rFonts w:ascii="Lato" w:hAnsi="Lato"/>
          <w:sz w:val="22"/>
        </w:rPr>
      </w:pPr>
    </w:p>
    <w:p w14:paraId="77D20E36" w14:textId="2E1B21A8" w:rsidR="00E44353" w:rsidRPr="00B9307E" w:rsidRDefault="00E44353" w:rsidP="00313A92">
      <w:pPr>
        <w:pStyle w:val="NoSpacing"/>
        <w:rPr>
          <w:rFonts w:ascii="Lato" w:hAnsi="Lato"/>
          <w:b/>
          <w:bCs/>
          <w:sz w:val="22"/>
        </w:rPr>
      </w:pPr>
      <w:r w:rsidRPr="00B9307E">
        <w:rPr>
          <w:rFonts w:ascii="Lato" w:hAnsi="Lato"/>
          <w:b/>
          <w:bCs/>
          <w:sz w:val="22"/>
        </w:rPr>
        <w:t>Chapters – enter the title of your first news item</w:t>
      </w:r>
    </w:p>
    <w:p w14:paraId="4886B5AC" w14:textId="01BDBACF" w:rsidR="00E9197F" w:rsidRPr="00B9307E" w:rsidRDefault="00E9197F" w:rsidP="00313A92">
      <w:pPr>
        <w:pStyle w:val="NoSpacing"/>
        <w:rPr>
          <w:rFonts w:ascii="Lato" w:hAnsi="Lato"/>
          <w:sz w:val="22"/>
        </w:rPr>
      </w:pPr>
      <w:r w:rsidRPr="00B9307E">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B9307E" w:rsidRDefault="00C627F2" w:rsidP="00313A92">
      <w:pPr>
        <w:pStyle w:val="NoSpacing"/>
        <w:rPr>
          <w:rFonts w:ascii="Lato" w:hAnsi="Lato"/>
          <w:sz w:val="22"/>
        </w:rPr>
      </w:pPr>
    </w:p>
    <w:p w14:paraId="72F4733A" w14:textId="5B4FBBEF" w:rsidR="00E9197F" w:rsidRPr="00B9307E" w:rsidRDefault="00E9197F" w:rsidP="00E9197F">
      <w:pPr>
        <w:rPr>
          <w:rFonts w:ascii="Lato" w:hAnsi="Lato" w:cs="Arial"/>
          <w:b/>
          <w:sz w:val="22"/>
        </w:rPr>
      </w:pPr>
      <w:r w:rsidRPr="00B9307E">
        <w:rPr>
          <w:rFonts w:ascii="Lato" w:hAnsi="Lato" w:cs="Arial"/>
          <w:b/>
          <w:sz w:val="22"/>
        </w:rPr>
        <w:t xml:space="preserve">Chapters – enter </w:t>
      </w:r>
      <w:r w:rsidR="001A574C" w:rsidRPr="00B9307E">
        <w:rPr>
          <w:rFonts w:ascii="Lato" w:hAnsi="Lato" w:cs="Arial"/>
          <w:b/>
          <w:sz w:val="22"/>
        </w:rPr>
        <w:t xml:space="preserve">the </w:t>
      </w:r>
      <w:r w:rsidRPr="00B9307E">
        <w:rPr>
          <w:rFonts w:ascii="Lato" w:hAnsi="Lato" w:cs="Arial"/>
          <w:b/>
          <w:sz w:val="22"/>
        </w:rPr>
        <w:t xml:space="preserve">title of your </w:t>
      </w:r>
      <w:r w:rsidR="00602B97" w:rsidRPr="00B9307E">
        <w:rPr>
          <w:rFonts w:ascii="Lato" w:hAnsi="Lato" w:cs="Arial"/>
          <w:b/>
          <w:sz w:val="22"/>
        </w:rPr>
        <w:t>second</w:t>
      </w:r>
      <w:r w:rsidRPr="00B9307E">
        <w:rPr>
          <w:rFonts w:ascii="Lato" w:hAnsi="Lato" w:cs="Arial"/>
          <w:b/>
          <w:sz w:val="22"/>
        </w:rPr>
        <w:t xml:space="preserve"> news item</w:t>
      </w:r>
    </w:p>
    <w:p w14:paraId="26F57FEB" w14:textId="3F7FE8B0" w:rsidR="00352BEB" w:rsidRPr="00B9307E" w:rsidRDefault="00602B97" w:rsidP="00352BEB">
      <w:pPr>
        <w:rPr>
          <w:rFonts w:ascii="Lato" w:hAnsi="Lato" w:cs="Arial"/>
          <w:sz w:val="22"/>
        </w:rPr>
      </w:pPr>
      <w:r w:rsidRPr="00B9307E">
        <w:rPr>
          <w:rFonts w:ascii="Lato" w:hAnsi="Lato" w:cs="Arial"/>
          <w:sz w:val="22"/>
        </w:rPr>
        <w:t xml:space="preserve">You can enter your second news item here and if you have any additional </w:t>
      </w:r>
      <w:proofErr w:type="gramStart"/>
      <w:r w:rsidRPr="00B9307E">
        <w:rPr>
          <w:rFonts w:ascii="Lato" w:hAnsi="Lato" w:cs="Arial"/>
          <w:sz w:val="22"/>
        </w:rPr>
        <w:t>items</w:t>
      </w:r>
      <w:proofErr w:type="gramEnd"/>
      <w:r w:rsidRPr="00B9307E">
        <w:rPr>
          <w:rFonts w:ascii="Lato" w:hAnsi="Lato" w:cs="Arial"/>
          <w:sz w:val="22"/>
        </w:rPr>
        <w:t xml:space="preserve"> you can copy the formatting and style for any other information you would like to share. </w:t>
      </w:r>
      <w:r w:rsidR="00352BEB" w:rsidRPr="00B9307E">
        <w:rPr>
          <w:rFonts w:ascii="Lato" w:hAnsi="Lato" w:cs="Arial"/>
          <w:sz w:val="22"/>
        </w:rPr>
        <w:br/>
      </w:r>
    </w:p>
    <w:p w14:paraId="563AE6E9" w14:textId="1066D2A4" w:rsidR="003F6089" w:rsidRPr="009D7C61" w:rsidRDefault="00B23B87" w:rsidP="00E3618A">
      <w:pPr>
        <w:pStyle w:val="NormalWeb"/>
        <w:spacing w:before="20" w:beforeAutospacing="0" w:after="40" w:afterAutospacing="0"/>
        <w:rPr>
          <w:rFonts w:ascii="Lato" w:hAnsi="Lato" w:cs="Arial"/>
          <w:b/>
          <w:bCs/>
          <w:i/>
          <w:iCs/>
          <w:color w:val="212529"/>
          <w:kern w:val="36"/>
          <w:sz w:val="28"/>
          <w:szCs w:val="28"/>
        </w:rPr>
      </w:pPr>
      <w:hyperlink r:id="rId13" w:history="1">
        <w:r w:rsidRPr="00ED2201">
          <w:rPr>
            <w:rStyle w:val="Hyperlink"/>
            <w:rFonts w:ascii="Lato" w:hAnsi="Lato" w:cs="Arial"/>
            <w:b/>
            <w:bCs/>
            <w:i/>
            <w:iCs/>
            <w:kern w:val="36"/>
            <w:sz w:val="28"/>
            <w:szCs w:val="28"/>
          </w:rPr>
          <w:t>MOAA on the Hill: CEO Outlines Key Priorities at Joint Veterans Hearing</w:t>
        </w:r>
      </w:hyperlink>
    </w:p>
    <w:p w14:paraId="2317A190" w14:textId="0F8D9D11" w:rsidR="00B23B87" w:rsidRDefault="00B23B87" w:rsidP="00E3618A">
      <w:pPr>
        <w:pStyle w:val="NormalWeb"/>
        <w:spacing w:before="20" w:beforeAutospacing="0" w:after="40" w:afterAutospacing="0"/>
        <w:rPr>
          <w:rFonts w:ascii="Lato" w:hAnsi="Lato" w:cs="Arial"/>
          <w:i/>
          <w:iCs/>
          <w:color w:val="212529"/>
          <w:kern w:val="36"/>
          <w:sz w:val="20"/>
          <w:szCs w:val="20"/>
        </w:rPr>
      </w:pPr>
      <w:proofErr w:type="gramStart"/>
      <w:r>
        <w:rPr>
          <w:rFonts w:ascii="Lato" w:hAnsi="Lato" w:cs="Arial"/>
          <w:i/>
          <w:iCs/>
          <w:color w:val="212529"/>
          <w:kern w:val="36"/>
          <w:sz w:val="20"/>
          <w:szCs w:val="20"/>
        </w:rPr>
        <w:t>By</w:t>
      </w:r>
      <w:proofErr w:type="gramEnd"/>
      <w:r>
        <w:rPr>
          <w:rFonts w:ascii="Lato" w:hAnsi="Lato" w:cs="Arial"/>
          <w:i/>
          <w:iCs/>
          <w:color w:val="212529"/>
          <w:kern w:val="36"/>
          <w:sz w:val="20"/>
          <w:szCs w:val="20"/>
        </w:rPr>
        <w:t>: MOAA Staff</w:t>
      </w:r>
    </w:p>
    <w:p w14:paraId="1BC3A215" w14:textId="77777777" w:rsidR="00B23B87" w:rsidRDefault="00B23B87" w:rsidP="00E3618A">
      <w:pPr>
        <w:pStyle w:val="NormalWeb"/>
        <w:spacing w:before="20" w:beforeAutospacing="0" w:after="40" w:afterAutospacing="0"/>
        <w:rPr>
          <w:rFonts w:ascii="Lato" w:hAnsi="Lato" w:cs="Arial"/>
          <w:i/>
          <w:iCs/>
          <w:color w:val="212529"/>
          <w:kern w:val="36"/>
          <w:sz w:val="20"/>
          <w:szCs w:val="20"/>
        </w:rPr>
      </w:pPr>
    </w:p>
    <w:p w14:paraId="53FC3C15"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Lawmakers have the opportunity to provide sorely needed support for veteran caregivers, protect service-earned benefits from for-profit “</w:t>
      </w:r>
      <w:hyperlink r:id="rId14" w:history="1">
        <w:r w:rsidRPr="009D7C61">
          <w:rPr>
            <w:rStyle w:val="Hyperlink"/>
            <w:rFonts w:ascii="Lato" w:hAnsi="Lato" w:cs="Arial"/>
            <w:i/>
            <w:iCs/>
            <w:kern w:val="36"/>
            <w:szCs w:val="20"/>
          </w:rPr>
          <w:t>claim sharks</w:t>
        </w:r>
      </w:hyperlink>
      <w:r w:rsidRPr="009D7C61">
        <w:rPr>
          <w:rFonts w:ascii="Lato" w:hAnsi="Lato" w:cs="Arial"/>
          <w:i/>
          <w:iCs/>
          <w:color w:val="212529"/>
          <w:kern w:val="36"/>
          <w:szCs w:val="20"/>
        </w:rPr>
        <w:t>,” and shore up critical transition-assistance programs for those leaving service by passing three bipartisan bills already moving through Congress, MOAA’s president and CEO told a joint committee hearing Feb. 24 on Capitol Hill.</w:t>
      </w:r>
    </w:p>
    <w:p w14:paraId="0E99E2C6"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409D840C"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Lt. Gen. Brian T. Kelly, USAF (Ret), testified alongside fellow veterans advocates before House and Senate Veterans’ Affairs Committee members in Washington, D.C., using his remarks to stress the importance of three bills on MOAA’s priority list:</w:t>
      </w:r>
    </w:p>
    <w:p w14:paraId="75DF8A16" w14:textId="77777777" w:rsidR="009D7C61" w:rsidRPr="009D7C61" w:rsidRDefault="009D7C61" w:rsidP="009D7C61">
      <w:pPr>
        <w:pStyle w:val="NormalWeb"/>
        <w:numPr>
          <w:ilvl w:val="0"/>
          <w:numId w:val="27"/>
        </w:numPr>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The </w:t>
      </w:r>
      <w:hyperlink r:id="rId15" w:history="1">
        <w:r w:rsidRPr="009D7C61">
          <w:rPr>
            <w:rStyle w:val="Hyperlink"/>
            <w:rFonts w:ascii="Lato" w:hAnsi="Lato" w:cs="Arial"/>
            <w:i/>
            <w:iCs/>
            <w:kern w:val="36"/>
            <w:szCs w:val="20"/>
          </w:rPr>
          <w:t>Veteran Caregiver Reeducation, Reemployment, and Retirement Act</w:t>
        </w:r>
      </w:hyperlink>
      <w:r w:rsidRPr="009D7C61">
        <w:rPr>
          <w:rFonts w:ascii="Lato" w:hAnsi="Lato" w:cs="Arial"/>
          <w:i/>
          <w:iCs/>
          <w:color w:val="212529"/>
          <w:kern w:val="36"/>
          <w:szCs w:val="20"/>
        </w:rPr>
        <w:t>, which offers financial guidance along with career and retirement support that “helps family members avoid choosing between caring for a veteran and securing their own future,” Kelly told lawmakers.</w:t>
      </w:r>
      <w:r w:rsidRPr="009D7C61">
        <w:rPr>
          <w:rFonts w:ascii="Lato" w:hAnsi="Lato" w:cs="Arial"/>
          <w:i/>
          <w:iCs/>
          <w:color w:val="212529"/>
          <w:kern w:val="36"/>
          <w:szCs w:val="20"/>
        </w:rPr>
        <w:br/>
      </w:r>
    </w:p>
    <w:p w14:paraId="1BC16402" w14:textId="77777777" w:rsidR="009D7C61" w:rsidRPr="009D7C61" w:rsidRDefault="009D7C61" w:rsidP="009D7C61">
      <w:pPr>
        <w:pStyle w:val="NormalWeb"/>
        <w:numPr>
          <w:ilvl w:val="0"/>
          <w:numId w:val="27"/>
        </w:numPr>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The </w:t>
      </w:r>
      <w:hyperlink r:id="rId16" w:history="1">
        <w:r w:rsidRPr="009D7C61">
          <w:rPr>
            <w:rStyle w:val="Hyperlink"/>
            <w:rFonts w:ascii="Lato" w:hAnsi="Lato" w:cs="Arial"/>
            <w:i/>
            <w:iCs/>
            <w:kern w:val="36"/>
            <w:szCs w:val="20"/>
          </w:rPr>
          <w:t>Governing Unaccredited Representatives Defrauding (GUARD) VA Benefits Act</w:t>
        </w:r>
      </w:hyperlink>
      <w:r w:rsidRPr="009D7C61">
        <w:rPr>
          <w:rFonts w:ascii="Lato" w:hAnsi="Lato" w:cs="Arial"/>
          <w:i/>
          <w:iCs/>
          <w:color w:val="212529"/>
          <w:kern w:val="36"/>
          <w:szCs w:val="20"/>
        </w:rPr>
        <w:t>, which provides tools to stop unregulated companies from charging veterans for help with disability claims and “restores accountability without restricting access to lawful, accredited assistance,” Kelly said.</w:t>
      </w:r>
      <w:r w:rsidRPr="009D7C61">
        <w:rPr>
          <w:rFonts w:ascii="Lato" w:hAnsi="Lato" w:cs="Arial"/>
          <w:i/>
          <w:iCs/>
          <w:color w:val="212529"/>
          <w:kern w:val="36"/>
          <w:szCs w:val="20"/>
        </w:rPr>
        <w:br/>
      </w:r>
    </w:p>
    <w:p w14:paraId="6526577F" w14:textId="77777777" w:rsidR="009D7C61" w:rsidRPr="009D7C61" w:rsidRDefault="009D7C61" w:rsidP="009D7C61">
      <w:pPr>
        <w:pStyle w:val="NormalWeb"/>
        <w:numPr>
          <w:ilvl w:val="0"/>
          <w:numId w:val="27"/>
        </w:numPr>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The </w:t>
      </w:r>
      <w:hyperlink r:id="rId17" w:history="1">
        <w:r w:rsidRPr="009D7C61">
          <w:rPr>
            <w:rStyle w:val="Hyperlink"/>
            <w:rFonts w:ascii="Lato" w:hAnsi="Lato" w:cs="Arial"/>
            <w:i/>
            <w:iCs/>
            <w:kern w:val="36"/>
            <w:szCs w:val="20"/>
          </w:rPr>
          <w:t>TAP Promotion Act</w:t>
        </w:r>
      </w:hyperlink>
      <w:r w:rsidRPr="009D7C61">
        <w:rPr>
          <w:rFonts w:ascii="Lato" w:hAnsi="Lato" w:cs="Arial"/>
          <w:i/>
          <w:iCs/>
          <w:color w:val="212529"/>
          <w:kern w:val="36"/>
          <w:szCs w:val="20"/>
        </w:rPr>
        <w:t>, which allows groups like MOAA to play a more important role in the transition process and “ensures servicemembers and their family members receive timely, accurate information before separation, not after problems arise,” Kelly said. Understanding trusted sources of this information allows veterans to find “the right places to follow up to make sure they can get access to all their benefits,” the CEO added in response to a question from Rep. Nancy Mace (R-S.C.), who chaired the hearing.</w:t>
      </w:r>
    </w:p>
    <w:p w14:paraId="0AF79AE0"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57FD40E4"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b/>
          <w:bCs/>
          <w:i/>
          <w:iCs/>
          <w:color w:val="212529"/>
          <w:kern w:val="36"/>
          <w:szCs w:val="20"/>
        </w:rPr>
        <w:t>[MORE DETAILS: </w:t>
      </w:r>
      <w:hyperlink r:id="rId18" w:history="1">
        <w:r w:rsidRPr="009D7C61">
          <w:rPr>
            <w:rStyle w:val="Hyperlink"/>
            <w:rFonts w:ascii="Lato" w:hAnsi="Lato" w:cs="Arial"/>
            <w:b/>
            <w:bCs/>
            <w:i/>
            <w:iCs/>
            <w:kern w:val="36"/>
            <w:szCs w:val="20"/>
          </w:rPr>
          <w:t>MOAA’s Written Testimony to Congress</w:t>
        </w:r>
      </w:hyperlink>
      <w:r w:rsidRPr="009D7C61">
        <w:rPr>
          <w:rFonts w:ascii="Lato" w:hAnsi="Lato" w:cs="Arial"/>
          <w:b/>
          <w:bCs/>
          <w:i/>
          <w:iCs/>
          <w:color w:val="212529"/>
          <w:kern w:val="36"/>
          <w:szCs w:val="20"/>
        </w:rPr>
        <w:t>]</w:t>
      </w:r>
    </w:p>
    <w:p w14:paraId="29AF498A"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44A4FD63"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lastRenderedPageBreak/>
        <w:t>Kelly linked the need for streamlined provision of service-earned veterans benefits with the strength of the all-volunteer force, noting MOAA’s work on behalf of those in and out of uniform, including the development of the people-focused </w:t>
      </w:r>
      <w:proofErr w:type="spellStart"/>
      <w:r w:rsidRPr="009D7C61">
        <w:rPr>
          <w:rFonts w:ascii="Lato" w:hAnsi="Lato" w:cs="Arial"/>
          <w:i/>
          <w:iCs/>
          <w:color w:val="212529"/>
          <w:kern w:val="36"/>
          <w:szCs w:val="20"/>
        </w:rPr>
        <w:fldChar w:fldCharType="begin"/>
      </w:r>
      <w:r w:rsidRPr="009D7C61">
        <w:rPr>
          <w:rFonts w:ascii="Lato" w:hAnsi="Lato" w:cs="Arial"/>
          <w:i/>
          <w:iCs/>
          <w:color w:val="212529"/>
          <w:kern w:val="36"/>
          <w:szCs w:val="20"/>
        </w:rPr>
        <w:instrText>HYPERLINK "https://www.totalforceplus.org/"</w:instrText>
      </w:r>
      <w:r w:rsidRPr="009D7C61">
        <w:rPr>
          <w:rFonts w:ascii="Lato" w:hAnsi="Lato" w:cs="Arial"/>
          <w:i/>
          <w:iCs/>
          <w:color w:val="212529"/>
          <w:kern w:val="36"/>
          <w:szCs w:val="20"/>
        </w:rPr>
      </w:r>
      <w:r w:rsidRPr="009D7C61">
        <w:rPr>
          <w:rFonts w:ascii="Lato" w:hAnsi="Lato" w:cs="Arial"/>
          <w:i/>
          <w:iCs/>
          <w:color w:val="212529"/>
          <w:kern w:val="36"/>
          <w:szCs w:val="20"/>
        </w:rPr>
        <w:fldChar w:fldCharType="separate"/>
      </w:r>
      <w:r w:rsidRPr="009D7C61">
        <w:rPr>
          <w:rStyle w:val="Hyperlink"/>
          <w:rFonts w:ascii="Lato" w:hAnsi="Lato" w:cs="Arial"/>
          <w:i/>
          <w:iCs/>
          <w:kern w:val="36"/>
          <w:szCs w:val="20"/>
        </w:rPr>
        <w:t>TotalForce</w:t>
      </w:r>
      <w:proofErr w:type="spellEnd"/>
      <w:r w:rsidRPr="009D7C61">
        <w:rPr>
          <w:rStyle w:val="Hyperlink"/>
          <w:rFonts w:ascii="Lato" w:hAnsi="Lato" w:cs="Arial"/>
          <w:i/>
          <w:iCs/>
          <w:kern w:val="36"/>
          <w:szCs w:val="20"/>
        </w:rPr>
        <w:t>+ event</w:t>
      </w:r>
      <w:r w:rsidRPr="009D7C61">
        <w:rPr>
          <w:rFonts w:ascii="Lato" w:hAnsi="Lato" w:cs="Arial"/>
          <w:i/>
          <w:iCs/>
          <w:color w:val="212529"/>
          <w:kern w:val="36"/>
          <w:szCs w:val="20"/>
        </w:rPr>
        <w:fldChar w:fldCharType="end"/>
      </w:r>
      <w:r w:rsidRPr="009D7C61">
        <w:rPr>
          <w:rFonts w:ascii="Lato" w:hAnsi="Lato" w:cs="Arial"/>
          <w:i/>
          <w:iCs/>
          <w:color w:val="212529"/>
          <w:kern w:val="36"/>
          <w:szCs w:val="20"/>
        </w:rPr>
        <w:t>.</w:t>
      </w:r>
    </w:p>
    <w:p w14:paraId="08999908"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07908820"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“From first salute to final honors, how we care for those who serve and those who stand beside them directly impacts who is willing to serve next,” Kelly said.</w:t>
      </w:r>
    </w:p>
    <w:p w14:paraId="4EC2DA4A"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243D183C"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b/>
          <w:bCs/>
          <w:i/>
          <w:iCs/>
          <w:color w:val="212529"/>
          <w:kern w:val="36"/>
          <w:szCs w:val="20"/>
        </w:rPr>
        <w:t>VA Rule Reversal</w:t>
      </w:r>
    </w:p>
    <w:p w14:paraId="56D776FC"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Kelly joined representatives from six other veteran advocacy groups – Blue Star Families, Vietnam Veterans of America, National Congress of American Indians, Service Women’s Action Network, Gold Star Wives of America, and Black Veterans Project – on the day’s second panel. Representatives from Disabled American Veterans (DAV) spoke to lawmakers during the first, which covered legislative issues as well as the VA’s </w:t>
      </w:r>
      <w:hyperlink r:id="rId19" w:history="1">
        <w:r w:rsidRPr="009D7C61">
          <w:rPr>
            <w:rStyle w:val="Hyperlink"/>
            <w:rFonts w:ascii="Lato" w:hAnsi="Lato" w:cs="Arial"/>
            <w:i/>
            <w:iCs/>
            <w:kern w:val="36"/>
            <w:szCs w:val="20"/>
          </w:rPr>
          <w:t>recent rule change</w:t>
        </w:r>
      </w:hyperlink>
      <w:r w:rsidRPr="009D7C61">
        <w:rPr>
          <w:rFonts w:ascii="Lato" w:hAnsi="Lato" w:cs="Arial"/>
          <w:i/>
          <w:iCs/>
          <w:color w:val="212529"/>
          <w:kern w:val="36"/>
          <w:szCs w:val="20"/>
        </w:rPr>
        <w:t> – and </w:t>
      </w:r>
      <w:hyperlink r:id="rId20" w:history="1">
        <w:r w:rsidRPr="009D7C61">
          <w:rPr>
            <w:rStyle w:val="Hyperlink"/>
            <w:rFonts w:ascii="Lato" w:hAnsi="Lato" w:cs="Arial"/>
            <w:i/>
            <w:iCs/>
            <w:kern w:val="36"/>
            <w:szCs w:val="20"/>
          </w:rPr>
          <w:t>subsequent reversal</w:t>
        </w:r>
      </w:hyperlink>
      <w:r w:rsidRPr="009D7C61">
        <w:rPr>
          <w:rFonts w:ascii="Lato" w:hAnsi="Lato" w:cs="Arial"/>
          <w:i/>
          <w:iCs/>
          <w:color w:val="212529"/>
          <w:kern w:val="36"/>
          <w:szCs w:val="20"/>
        </w:rPr>
        <w:t> – regarding the effect of medication on the disability ratings process.</w:t>
      </w:r>
    </w:p>
    <w:p w14:paraId="22FC7C70"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4B3E94D3"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b/>
          <w:bCs/>
          <w:i/>
          <w:iCs/>
          <w:color w:val="212529"/>
          <w:kern w:val="36"/>
          <w:szCs w:val="20"/>
        </w:rPr>
        <w:t>[RELATED: </w:t>
      </w:r>
      <w:hyperlink r:id="rId21" w:history="1">
        <w:r w:rsidRPr="009D7C61">
          <w:rPr>
            <w:rStyle w:val="Hyperlink"/>
            <w:rFonts w:ascii="Lato" w:hAnsi="Lato" w:cs="Arial"/>
            <w:b/>
            <w:bCs/>
            <w:i/>
            <w:iCs/>
            <w:kern w:val="36"/>
            <w:szCs w:val="20"/>
          </w:rPr>
          <w:t>VA Must Rescind, Not Just ‘Halt,’ New Rule on Disability Ratings</w:t>
        </w:r>
      </w:hyperlink>
      <w:r w:rsidRPr="009D7C61">
        <w:rPr>
          <w:rFonts w:ascii="Lato" w:hAnsi="Lato" w:cs="Arial"/>
          <w:b/>
          <w:bCs/>
          <w:i/>
          <w:iCs/>
          <w:color w:val="212529"/>
          <w:kern w:val="36"/>
          <w:szCs w:val="20"/>
        </w:rPr>
        <w:t>]</w:t>
      </w:r>
    </w:p>
    <w:p w14:paraId="3AE04F13"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4A465F5F"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After opposition lodged by veterans and advocates, VA Secretary Doug Collins announced the department would not enforce the Feb. 17 regulation – a rule he said only served to “clarify existing policy” in the wake of recent court rulings. Advocates have said the rule could have unintended consequences, such as encouraging veterans to skip medication prior to evaluations, reducing benefits for those able to control certain conditions via medication, and neglecting second- and third-order effects caused by a medication’s side effects.</w:t>
      </w:r>
    </w:p>
    <w:p w14:paraId="08C5A6B1"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21988C59"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xml:space="preserve">MOAA and other groups also raised concerns that the rule was implemented without the customary notice-and-comment process and without VA officials discussing the regulation with </w:t>
      </w:r>
      <w:proofErr w:type="gramStart"/>
      <w:r w:rsidRPr="009D7C61">
        <w:rPr>
          <w:rFonts w:ascii="Lato" w:hAnsi="Lato" w:cs="Arial"/>
          <w:i/>
          <w:iCs/>
          <w:color w:val="212529"/>
          <w:kern w:val="36"/>
          <w:szCs w:val="20"/>
        </w:rPr>
        <w:t>veterans</w:t>
      </w:r>
      <w:proofErr w:type="gramEnd"/>
      <w:r w:rsidRPr="009D7C61">
        <w:rPr>
          <w:rFonts w:ascii="Lato" w:hAnsi="Lato" w:cs="Arial"/>
          <w:i/>
          <w:iCs/>
          <w:color w:val="212529"/>
          <w:kern w:val="36"/>
          <w:szCs w:val="20"/>
        </w:rPr>
        <w:t xml:space="preserve"> associations.</w:t>
      </w:r>
    </w:p>
    <w:p w14:paraId="744D0713"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4A154E73"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“Transparency in terms of consulting us, giving us information, we think would’ve provided the secretary and the VA with information that may have adjusted the outcome” of the rule issue, Kelly said on behalf of the panelists in response to a question by Sen. Tammy Duckworth (D-Ill.). “This group of people has information to provide and should be consulted.”</w:t>
      </w:r>
    </w:p>
    <w:p w14:paraId="2E6F7702"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05354A6B"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b/>
          <w:bCs/>
          <w:i/>
          <w:iCs/>
          <w:color w:val="212529"/>
          <w:kern w:val="36"/>
          <w:szCs w:val="20"/>
        </w:rPr>
        <w:t>[RELATED: </w:t>
      </w:r>
      <w:hyperlink r:id="rId22" w:tooltip="Breaking Down the Disability Compensation Process" w:history="1">
        <w:r w:rsidRPr="009D7C61">
          <w:rPr>
            <w:rStyle w:val="Hyperlink"/>
            <w:rFonts w:ascii="Lato" w:hAnsi="Lato" w:cs="Arial"/>
            <w:b/>
            <w:bCs/>
            <w:i/>
            <w:iCs/>
            <w:kern w:val="36"/>
            <w:szCs w:val="20"/>
          </w:rPr>
          <w:t>Breaking Down the Disability Compensation Process</w:t>
        </w:r>
      </w:hyperlink>
      <w:r w:rsidRPr="009D7C61">
        <w:rPr>
          <w:rFonts w:ascii="Lato" w:hAnsi="Lato" w:cs="Arial"/>
          <w:b/>
          <w:bCs/>
          <w:i/>
          <w:iCs/>
          <w:color w:val="212529"/>
          <w:kern w:val="36"/>
          <w:szCs w:val="20"/>
        </w:rPr>
        <w:t>]</w:t>
      </w:r>
    </w:p>
    <w:p w14:paraId="6874914F"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5AF76481"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xml:space="preserve">The rule </w:t>
      </w:r>
      <w:proofErr w:type="gramStart"/>
      <w:r w:rsidRPr="009D7C61">
        <w:rPr>
          <w:rFonts w:ascii="Lato" w:hAnsi="Lato" w:cs="Arial"/>
          <w:i/>
          <w:iCs/>
          <w:color w:val="212529"/>
          <w:kern w:val="36"/>
          <w:szCs w:val="20"/>
        </w:rPr>
        <w:t>had received</w:t>
      </w:r>
      <w:proofErr w:type="gramEnd"/>
      <w:r w:rsidRPr="009D7C61">
        <w:rPr>
          <w:rFonts w:ascii="Lato" w:hAnsi="Lato" w:cs="Arial"/>
          <w:i/>
          <w:iCs/>
          <w:color w:val="212529"/>
          <w:kern w:val="36"/>
          <w:szCs w:val="20"/>
        </w:rPr>
        <w:t xml:space="preserve"> more than 19,000 comments at the Federal Register website as of Feb. 24.</w:t>
      </w:r>
    </w:p>
    <w:p w14:paraId="5FD79CC7"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6DA6580E"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“We’re pleased Secretary Collins listened to veterans and announced that the VA would not be implementing the rule,” Coleman Nee, DAV national commander, told the committee. “No veteran should be penalized for taking the medication they need to survive.”</w:t>
      </w:r>
    </w:p>
    <w:p w14:paraId="218D0228" w14:textId="77777777" w:rsidR="009D7C61" w:rsidRP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 </w:t>
      </w:r>
    </w:p>
    <w:p w14:paraId="39986FC1" w14:textId="77777777" w:rsidR="009D7C61" w:rsidRDefault="009D7C61" w:rsidP="009D7C61">
      <w:pPr>
        <w:pStyle w:val="NormalWeb"/>
        <w:spacing w:before="0" w:beforeAutospacing="0" w:after="0" w:afterAutospacing="0"/>
        <w:rPr>
          <w:rFonts w:ascii="Lato" w:hAnsi="Lato" w:cs="Arial"/>
          <w:i/>
          <w:iCs/>
          <w:color w:val="212529"/>
          <w:kern w:val="36"/>
          <w:szCs w:val="20"/>
        </w:rPr>
      </w:pPr>
      <w:r w:rsidRPr="009D7C61">
        <w:rPr>
          <w:rFonts w:ascii="Lato" w:hAnsi="Lato" w:cs="Arial"/>
          <w:i/>
          <w:iCs/>
          <w:color w:val="212529"/>
          <w:kern w:val="36"/>
          <w:szCs w:val="20"/>
        </w:rPr>
        <w:t>For the latest information on these and other MOAA priorities, and to reach out to your lawmakers to voice support for this legislation and other MOAA-backed initiatives, register at our </w:t>
      </w:r>
      <w:hyperlink r:id="rId23" w:history="1">
        <w:r w:rsidRPr="009D7C61">
          <w:rPr>
            <w:rStyle w:val="Hyperlink"/>
            <w:rFonts w:ascii="Lato" w:hAnsi="Lato" w:cs="Arial"/>
            <w:i/>
            <w:iCs/>
            <w:kern w:val="36"/>
            <w:szCs w:val="20"/>
          </w:rPr>
          <w:t>Legislative Action Center</w:t>
        </w:r>
      </w:hyperlink>
      <w:r w:rsidRPr="009D7C61">
        <w:rPr>
          <w:rFonts w:ascii="Lato" w:hAnsi="Lato" w:cs="Arial"/>
          <w:i/>
          <w:iCs/>
          <w:color w:val="212529"/>
          <w:kern w:val="36"/>
          <w:szCs w:val="20"/>
        </w:rPr>
        <w:t>.</w:t>
      </w:r>
    </w:p>
    <w:p w14:paraId="17D1F082"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011355A6"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15D3DFD9"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224BA66E"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6FEC0693"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3447CA39" w14:textId="1E74305E" w:rsidR="00456C2F" w:rsidRPr="00456C2F" w:rsidRDefault="00456C2F" w:rsidP="009D7C61">
      <w:pPr>
        <w:pStyle w:val="NormalWeb"/>
        <w:spacing w:before="0" w:beforeAutospacing="0" w:after="0" w:afterAutospacing="0"/>
        <w:rPr>
          <w:rFonts w:ascii="Lato" w:hAnsi="Lato" w:cs="Arial"/>
          <w:b/>
          <w:bCs/>
          <w:i/>
          <w:iCs/>
          <w:color w:val="212529"/>
          <w:kern w:val="36"/>
          <w:sz w:val="28"/>
          <w:szCs w:val="28"/>
        </w:rPr>
      </w:pPr>
      <w:r w:rsidRPr="00456C2F">
        <w:rPr>
          <w:rFonts w:ascii="Lato" w:hAnsi="Lato" w:cs="Arial"/>
          <w:b/>
          <w:bCs/>
          <w:i/>
          <w:iCs/>
          <w:color w:val="212529"/>
          <w:kern w:val="36"/>
          <w:sz w:val="28"/>
          <w:szCs w:val="28"/>
        </w:rPr>
        <w:t>Surviving Spouse Corner: Strengthening Emotional Well-Being</w:t>
      </w:r>
    </w:p>
    <w:p w14:paraId="62626E4F" w14:textId="04D2B744" w:rsidR="00B23B87" w:rsidRDefault="00456C2F" w:rsidP="00E3618A">
      <w:pPr>
        <w:pStyle w:val="NormalWeb"/>
        <w:spacing w:before="20" w:beforeAutospacing="0" w:after="40" w:afterAutospacing="0"/>
        <w:rPr>
          <w:rFonts w:ascii="Lato" w:hAnsi="Lato" w:cs="Arial"/>
          <w:i/>
          <w:iCs/>
          <w:color w:val="212529"/>
          <w:kern w:val="36"/>
          <w:sz w:val="20"/>
          <w:szCs w:val="20"/>
        </w:rPr>
      </w:pPr>
      <w:r>
        <w:rPr>
          <w:rFonts w:ascii="Lato" w:hAnsi="Lato" w:cs="Arial"/>
          <w:i/>
          <w:iCs/>
          <w:color w:val="212529"/>
          <w:kern w:val="36"/>
          <w:sz w:val="20"/>
          <w:szCs w:val="20"/>
        </w:rPr>
        <w:t xml:space="preserve">By: Roy </w:t>
      </w:r>
      <w:r w:rsidR="0009111F" w:rsidRPr="0009111F">
        <w:rPr>
          <w:rFonts w:ascii="Lato" w:hAnsi="Lato" w:cs="Arial"/>
          <w:i/>
          <w:iCs/>
          <w:color w:val="212529"/>
          <w:kern w:val="36"/>
          <w:sz w:val="20"/>
          <w:szCs w:val="20"/>
        </w:rPr>
        <w:t>Yenchesky</w:t>
      </w:r>
    </w:p>
    <w:p w14:paraId="0F955FC7" w14:textId="77777777" w:rsidR="0009111F" w:rsidRDefault="0009111F" w:rsidP="00E3618A">
      <w:pPr>
        <w:pStyle w:val="NormalWeb"/>
        <w:spacing w:before="20" w:beforeAutospacing="0" w:after="40" w:afterAutospacing="0"/>
        <w:rPr>
          <w:rFonts w:ascii="Lato" w:hAnsi="Lato" w:cs="Arial"/>
          <w:i/>
          <w:iCs/>
          <w:color w:val="212529"/>
          <w:kern w:val="36"/>
          <w:sz w:val="20"/>
          <w:szCs w:val="20"/>
        </w:rPr>
      </w:pPr>
    </w:p>
    <w:p w14:paraId="409661E6"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The death of a military spouse reshapes emotional well</w:t>
      </w:r>
      <w:r w:rsidRPr="0009111F">
        <w:rPr>
          <w:rFonts w:ascii="Lato" w:hAnsi="Lato" w:cs="Arial"/>
          <w:i/>
          <w:iCs/>
          <w:color w:val="212529"/>
          <w:kern w:val="36"/>
          <w:szCs w:val="20"/>
        </w:rPr>
        <w:noBreakHyphen/>
        <w:t>being in ways that reach far beyond grief itself. It is a loss that touches identity, daily rhythm, and the quiet sense of safety that comes from sharing life with someone who understood both the burdens and the pride of service.</w:t>
      </w:r>
    </w:p>
    <w:p w14:paraId="64369702"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1D4C1B7E"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For many, the brain responds to this kind of profound disruption with a mix of numbness, hypervigilance, and deep fatigue — natural reactions to a heart trying to make sense of a world suddenly changed. Yet within that upheaval, emotional well</w:t>
      </w:r>
      <w:r w:rsidRPr="0009111F">
        <w:rPr>
          <w:rFonts w:ascii="Lato" w:hAnsi="Lato" w:cs="Arial"/>
          <w:i/>
          <w:iCs/>
          <w:color w:val="212529"/>
          <w:kern w:val="36"/>
          <w:szCs w:val="20"/>
        </w:rPr>
        <w:noBreakHyphen/>
        <w:t>being becomes not just a hope but a necessity: a steadying force that helps the mind process sorrow, rebuild resilience, and slowly rediscover moments of connection, purpose, and peace. This journey is neither quick nor linear, but it reflects the same courage and endurance that military families have always carried.</w:t>
      </w:r>
    </w:p>
    <w:p w14:paraId="0BC77C9B"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7F03F2E3"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Emotional well</w:t>
      </w:r>
      <w:r w:rsidRPr="0009111F">
        <w:rPr>
          <w:rFonts w:ascii="Lato" w:hAnsi="Lato" w:cs="Arial"/>
          <w:i/>
          <w:iCs/>
          <w:color w:val="212529"/>
          <w:kern w:val="36"/>
          <w:szCs w:val="20"/>
        </w:rPr>
        <w:noBreakHyphen/>
        <w:t>being and brain health are deeply interconnected, shaping how we think, cope, and experience daily life. Strong emotional balance supports healthier brain function, while a well</w:t>
      </w:r>
      <w:r w:rsidRPr="0009111F">
        <w:rPr>
          <w:rFonts w:ascii="Lato" w:hAnsi="Lato" w:cs="Arial"/>
          <w:i/>
          <w:iCs/>
          <w:color w:val="212529"/>
          <w:kern w:val="36"/>
          <w:szCs w:val="20"/>
        </w:rPr>
        <w:noBreakHyphen/>
        <w:t>nourished brain strengthens our ability to manage stress, build relationships, and maintain resilience.</w:t>
      </w:r>
    </w:p>
    <w:p w14:paraId="5589F197"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280602E7"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[HEALTHY LIVING: </w:t>
      </w:r>
      <w:hyperlink r:id="rId24" w:tooltip="Healthy Living: Beat Back Pain With a Strong Core" w:history="1">
        <w:r w:rsidRPr="0009111F">
          <w:rPr>
            <w:rStyle w:val="Hyperlink"/>
            <w:rFonts w:ascii="Lato" w:hAnsi="Lato" w:cs="Arial"/>
            <w:b/>
            <w:bCs/>
            <w:i/>
            <w:iCs/>
            <w:kern w:val="36"/>
            <w:szCs w:val="20"/>
          </w:rPr>
          <w:t>Healthy Living: Beat Back Pain With a Strong Core</w:t>
        </w:r>
      </w:hyperlink>
      <w:r w:rsidRPr="0009111F">
        <w:rPr>
          <w:rFonts w:ascii="Lato" w:hAnsi="Lato" w:cs="Arial"/>
          <w:b/>
          <w:bCs/>
          <w:i/>
          <w:iCs/>
          <w:color w:val="212529"/>
          <w:kern w:val="36"/>
          <w:szCs w:val="20"/>
        </w:rPr>
        <w:t>]</w:t>
      </w:r>
    </w:p>
    <w:p w14:paraId="09AA119E"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5C7288A1"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Research shows that chronic stress can harm key brain regions involved in emotional control, memory, and decision</w:t>
      </w:r>
      <w:r w:rsidRPr="0009111F">
        <w:rPr>
          <w:rFonts w:ascii="Lato" w:hAnsi="Lato" w:cs="Arial"/>
          <w:i/>
          <w:iCs/>
          <w:color w:val="212529"/>
          <w:kern w:val="36"/>
          <w:szCs w:val="20"/>
        </w:rPr>
        <w:noBreakHyphen/>
        <w:t>making, including the prefrontal cortex, amygdala, and hippocampus. When these areas are disrupted, people might experience anxiety, irritability, or difficulty concentrating.</w:t>
      </w:r>
    </w:p>
    <w:p w14:paraId="30F0651A"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11635D68"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How Emotions Shape the Brain</w:t>
      </w:r>
    </w:p>
    <w:p w14:paraId="2C0312C8"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Positive emotional states — such as purpose, connection, and calm — help regulate stress hormones and support cognitive performance. People who report higher emotional stability and life satisfaction tend to support stronger memory and decision</w:t>
      </w:r>
      <w:r w:rsidRPr="0009111F">
        <w:rPr>
          <w:rFonts w:ascii="Lato" w:hAnsi="Lato" w:cs="Arial"/>
          <w:i/>
          <w:iCs/>
          <w:color w:val="212529"/>
          <w:kern w:val="36"/>
          <w:szCs w:val="20"/>
        </w:rPr>
        <w:noBreakHyphen/>
        <w:t>making abilities as they age.</w:t>
      </w:r>
    </w:p>
    <w:p w14:paraId="0CF45EBF"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15E381EF"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xml:space="preserve">Conversely, chronic stress elevates cortisol, which can shrink the hippocampus and </w:t>
      </w:r>
      <w:proofErr w:type="spellStart"/>
      <w:r w:rsidRPr="0009111F">
        <w:rPr>
          <w:rFonts w:ascii="Lato" w:hAnsi="Lato" w:cs="Arial"/>
          <w:i/>
          <w:iCs/>
          <w:color w:val="212529"/>
          <w:kern w:val="36"/>
          <w:szCs w:val="20"/>
        </w:rPr>
        <w:t>overactivate</w:t>
      </w:r>
      <w:proofErr w:type="spellEnd"/>
      <w:r w:rsidRPr="0009111F">
        <w:rPr>
          <w:rFonts w:ascii="Lato" w:hAnsi="Lato" w:cs="Arial"/>
          <w:i/>
          <w:iCs/>
          <w:color w:val="212529"/>
          <w:kern w:val="36"/>
          <w:szCs w:val="20"/>
        </w:rPr>
        <w:t xml:space="preserve"> the amygdala, making emotional regulation more difficult and increasing vulnerability to depression or anxiety.</w:t>
      </w:r>
    </w:p>
    <w:p w14:paraId="53FC584F"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12D4A82B"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The Brain–Body Connection</w:t>
      </w:r>
    </w:p>
    <w:p w14:paraId="03442875"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The brain communicates constantly with the body through neural pathways and chemical messengers. Neurotransmitters like serotonin, dopamine, and norepinephrine influence mood, motivation, and focus. When these systems are imbalanced, emotional well</w:t>
      </w:r>
      <w:r w:rsidRPr="0009111F">
        <w:rPr>
          <w:rFonts w:ascii="Lato" w:hAnsi="Lato" w:cs="Arial"/>
          <w:i/>
          <w:iCs/>
          <w:color w:val="212529"/>
          <w:kern w:val="36"/>
          <w:szCs w:val="20"/>
        </w:rPr>
        <w:noBreakHyphen/>
        <w:t>being can suffer.</w:t>
      </w:r>
    </w:p>
    <w:p w14:paraId="68D0B1C5"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2940C549"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Physical factors such as sleep, inflammation, and fatigue also affect how the brain processes emotions, reinforcing the need for whole</w:t>
      </w:r>
      <w:r w:rsidRPr="0009111F">
        <w:rPr>
          <w:rFonts w:ascii="Lato" w:hAnsi="Lato" w:cs="Arial"/>
          <w:i/>
          <w:iCs/>
          <w:color w:val="212529"/>
          <w:kern w:val="36"/>
          <w:szCs w:val="20"/>
        </w:rPr>
        <w:noBreakHyphen/>
        <w:t>body care.</w:t>
      </w:r>
    </w:p>
    <w:p w14:paraId="34DD4F85"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29407E87"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Strengthening Emotional and Brain Health</w:t>
      </w:r>
    </w:p>
    <w:p w14:paraId="2A42D963"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Several habits support both emotional balance and neurological resilience:</w:t>
      </w:r>
    </w:p>
    <w:p w14:paraId="619A645C" w14:textId="77777777" w:rsidR="0009111F" w:rsidRPr="0009111F" w:rsidRDefault="0009111F" w:rsidP="0009111F">
      <w:pPr>
        <w:pStyle w:val="NormalWeb"/>
        <w:numPr>
          <w:ilvl w:val="0"/>
          <w:numId w:val="28"/>
        </w:numPr>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Regular physical activity</w:t>
      </w:r>
      <w:r w:rsidRPr="0009111F">
        <w:rPr>
          <w:rFonts w:ascii="Lato" w:hAnsi="Lato" w:cs="Arial"/>
          <w:i/>
          <w:iCs/>
          <w:color w:val="212529"/>
          <w:kern w:val="36"/>
          <w:szCs w:val="20"/>
        </w:rPr>
        <w:t> boosts serotonin and dopamine, improving mood and cognitive flexibility.</w:t>
      </w:r>
    </w:p>
    <w:p w14:paraId="7B08FC81" w14:textId="77777777" w:rsidR="0009111F" w:rsidRPr="0009111F" w:rsidRDefault="0009111F" w:rsidP="0009111F">
      <w:pPr>
        <w:pStyle w:val="NormalWeb"/>
        <w:numPr>
          <w:ilvl w:val="0"/>
          <w:numId w:val="28"/>
        </w:numPr>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Quality sleep</w:t>
      </w:r>
      <w:r w:rsidRPr="0009111F">
        <w:rPr>
          <w:rFonts w:ascii="Lato" w:hAnsi="Lato" w:cs="Arial"/>
          <w:i/>
          <w:iCs/>
          <w:color w:val="212529"/>
          <w:kern w:val="36"/>
          <w:szCs w:val="20"/>
        </w:rPr>
        <w:t> helps the brain detoxify and consolidate memories.</w:t>
      </w:r>
    </w:p>
    <w:p w14:paraId="22CBCDF6" w14:textId="77777777" w:rsidR="0009111F" w:rsidRPr="0009111F" w:rsidRDefault="0009111F" w:rsidP="0009111F">
      <w:pPr>
        <w:pStyle w:val="NormalWeb"/>
        <w:numPr>
          <w:ilvl w:val="0"/>
          <w:numId w:val="28"/>
        </w:numPr>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Social connection</w:t>
      </w:r>
      <w:r w:rsidRPr="0009111F">
        <w:rPr>
          <w:rFonts w:ascii="Lato" w:hAnsi="Lato" w:cs="Arial"/>
          <w:i/>
          <w:iCs/>
          <w:color w:val="212529"/>
          <w:kern w:val="36"/>
          <w:szCs w:val="20"/>
        </w:rPr>
        <w:t> reduces stress responses and protects cognitive health.</w:t>
      </w:r>
    </w:p>
    <w:p w14:paraId="7FA91BD2" w14:textId="77777777" w:rsidR="0009111F" w:rsidRPr="0009111F" w:rsidRDefault="0009111F" w:rsidP="0009111F">
      <w:pPr>
        <w:pStyle w:val="NormalWeb"/>
        <w:numPr>
          <w:ilvl w:val="0"/>
          <w:numId w:val="28"/>
        </w:numPr>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lastRenderedPageBreak/>
        <w:t>Mindfulness and gratitude practices</w:t>
      </w:r>
      <w:r w:rsidRPr="0009111F">
        <w:rPr>
          <w:rFonts w:ascii="Lato" w:hAnsi="Lato" w:cs="Arial"/>
          <w:i/>
          <w:iCs/>
          <w:color w:val="212529"/>
          <w:kern w:val="36"/>
          <w:szCs w:val="20"/>
        </w:rPr>
        <w:t> calm the nervous system and enhance emotional regulation.</w:t>
      </w:r>
    </w:p>
    <w:p w14:paraId="159D561B" w14:textId="77777777" w:rsidR="0009111F" w:rsidRPr="0009111F" w:rsidRDefault="0009111F" w:rsidP="0009111F">
      <w:pPr>
        <w:pStyle w:val="NormalWeb"/>
        <w:numPr>
          <w:ilvl w:val="0"/>
          <w:numId w:val="28"/>
        </w:numPr>
        <w:spacing w:before="0" w:beforeAutospacing="0" w:after="0" w:afterAutospacing="0"/>
        <w:rPr>
          <w:rFonts w:ascii="Lato" w:hAnsi="Lato" w:cs="Arial"/>
          <w:i/>
          <w:iCs/>
          <w:color w:val="212529"/>
          <w:kern w:val="36"/>
          <w:szCs w:val="20"/>
        </w:rPr>
      </w:pPr>
      <w:r w:rsidRPr="0009111F">
        <w:rPr>
          <w:rFonts w:ascii="Lato" w:hAnsi="Lato" w:cs="Arial"/>
          <w:b/>
          <w:bCs/>
          <w:i/>
          <w:iCs/>
          <w:color w:val="212529"/>
          <w:kern w:val="36"/>
          <w:szCs w:val="20"/>
        </w:rPr>
        <w:t>Balanced nutrition</w:t>
      </w:r>
      <w:r w:rsidRPr="0009111F">
        <w:rPr>
          <w:rFonts w:ascii="Lato" w:hAnsi="Lato" w:cs="Arial"/>
          <w:i/>
          <w:iCs/>
          <w:color w:val="212529"/>
          <w:kern w:val="36"/>
          <w:szCs w:val="20"/>
        </w:rPr>
        <w:t>, especially omega</w:t>
      </w:r>
      <w:r w:rsidRPr="0009111F">
        <w:rPr>
          <w:rFonts w:ascii="Lato" w:hAnsi="Lato" w:cs="Arial"/>
          <w:i/>
          <w:iCs/>
          <w:color w:val="212529"/>
          <w:kern w:val="36"/>
          <w:szCs w:val="20"/>
        </w:rPr>
        <w:noBreakHyphen/>
        <w:t>3s and antioxidants, supports neural communication.</w:t>
      </w:r>
    </w:p>
    <w:p w14:paraId="4FFD0560"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 </w:t>
      </w:r>
    </w:p>
    <w:p w14:paraId="38C41D3A" w14:textId="77777777" w:rsidR="0009111F" w:rsidRPr="0009111F" w:rsidRDefault="0009111F" w:rsidP="0009111F">
      <w:pPr>
        <w:pStyle w:val="NormalWeb"/>
        <w:spacing w:before="0" w:beforeAutospacing="0" w:after="0" w:afterAutospacing="0"/>
        <w:rPr>
          <w:rFonts w:ascii="Lato" w:hAnsi="Lato" w:cs="Arial"/>
          <w:i/>
          <w:iCs/>
          <w:color w:val="212529"/>
          <w:kern w:val="36"/>
          <w:szCs w:val="20"/>
        </w:rPr>
      </w:pPr>
      <w:r w:rsidRPr="0009111F">
        <w:rPr>
          <w:rFonts w:ascii="Lato" w:hAnsi="Lato" w:cs="Arial"/>
          <w:i/>
          <w:iCs/>
          <w:color w:val="212529"/>
          <w:kern w:val="36"/>
          <w:szCs w:val="20"/>
        </w:rPr>
        <w:t>Together, these practices create a reinforcing cycle: A healthier brain supports stronger emotional well</w:t>
      </w:r>
      <w:r w:rsidRPr="0009111F">
        <w:rPr>
          <w:rFonts w:ascii="Lato" w:hAnsi="Lato" w:cs="Arial"/>
          <w:i/>
          <w:iCs/>
          <w:color w:val="212529"/>
          <w:kern w:val="36"/>
          <w:szCs w:val="20"/>
        </w:rPr>
        <w:noBreakHyphen/>
        <w:t>being, and emotional well</w:t>
      </w:r>
      <w:r w:rsidRPr="0009111F">
        <w:rPr>
          <w:rFonts w:ascii="Lato" w:hAnsi="Lato" w:cs="Arial"/>
          <w:i/>
          <w:iCs/>
          <w:color w:val="212529"/>
          <w:kern w:val="36"/>
          <w:szCs w:val="20"/>
        </w:rPr>
        <w:noBreakHyphen/>
        <w:t>being protects the brain.</w:t>
      </w:r>
    </w:p>
    <w:p w14:paraId="2FEA468A" w14:textId="77777777" w:rsidR="0009111F" w:rsidRDefault="0009111F" w:rsidP="00E3618A">
      <w:pPr>
        <w:pStyle w:val="NormalWeb"/>
        <w:spacing w:before="20" w:beforeAutospacing="0" w:after="40" w:afterAutospacing="0"/>
        <w:rPr>
          <w:rFonts w:ascii="Lato" w:hAnsi="Lato" w:cs="Arial"/>
          <w:i/>
          <w:iCs/>
          <w:color w:val="212529"/>
          <w:kern w:val="36"/>
          <w:sz w:val="20"/>
          <w:szCs w:val="20"/>
        </w:rPr>
      </w:pPr>
    </w:p>
    <w:p w14:paraId="1A9803B8" w14:textId="77777777" w:rsidR="00B23B87" w:rsidRPr="00B23B87" w:rsidRDefault="00B23B87" w:rsidP="00E3618A">
      <w:pPr>
        <w:pStyle w:val="NormalWeb"/>
        <w:spacing w:before="20" w:beforeAutospacing="0" w:after="40" w:afterAutospacing="0"/>
        <w:rPr>
          <w:rFonts w:ascii="Lato" w:hAnsi="Lato" w:cs="Arial"/>
          <w:i/>
          <w:iCs/>
          <w:color w:val="212529"/>
          <w:kern w:val="36"/>
          <w:sz w:val="20"/>
          <w:szCs w:val="20"/>
        </w:rPr>
      </w:pPr>
    </w:p>
    <w:p w14:paraId="20FF09F5" w14:textId="6E8B8425" w:rsidR="001917BB" w:rsidRPr="00B9307E" w:rsidRDefault="001917BB" w:rsidP="00F16740">
      <w:pPr>
        <w:spacing w:before="24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B9307E">
        <w:rPr>
          <w:rFonts w:ascii="Lato" w:hAnsi="Lato" w:cs="Arial"/>
          <w:b/>
          <w:sz w:val="22"/>
        </w:rPr>
        <w:t xml:space="preserve">Chapters – enter title of </w:t>
      </w:r>
      <w:r w:rsidR="005F74B7" w:rsidRPr="00B9307E">
        <w:rPr>
          <w:rFonts w:ascii="Lato" w:hAnsi="Lato" w:cs="Arial"/>
          <w:b/>
          <w:sz w:val="22"/>
        </w:rPr>
        <w:t>an interesting</w:t>
      </w:r>
      <w:r w:rsidRPr="00B9307E">
        <w:rPr>
          <w:rFonts w:ascii="Lato" w:hAnsi="Lato" w:cs="Arial"/>
          <w:b/>
          <w:sz w:val="22"/>
        </w:rPr>
        <w:t xml:space="preserve"> news item here</w:t>
      </w:r>
    </w:p>
    <w:p w14:paraId="2E9C68FB" w14:textId="64878E52" w:rsidR="0030026E" w:rsidRPr="00B9307E" w:rsidRDefault="0030026E" w:rsidP="001917BB">
      <w:pPr>
        <w:spacing w:before="80"/>
        <w:rPr>
          <w:rFonts w:ascii="Lato" w:hAnsi="Lato" w:cs="Arial"/>
          <w:b/>
          <w:sz w:val="22"/>
        </w:rPr>
      </w:pPr>
      <w:r w:rsidRPr="00B9307E">
        <w:rPr>
          <w:rFonts w:ascii="Lato" w:hAnsi="Lato" w:cs="Arial"/>
          <w:b/>
          <w:sz w:val="22"/>
        </w:rPr>
        <w:t>Provide pictures and stories of a recent chapter meeting or program</w:t>
      </w:r>
    </w:p>
    <w:p w14:paraId="732DCBF3" w14:textId="27013747" w:rsidR="001917BB" w:rsidRPr="00B9307E" w:rsidRDefault="001917BB" w:rsidP="001917BB">
      <w:pPr>
        <w:rPr>
          <w:rFonts w:ascii="Lato" w:hAnsi="Lato" w:cs="Arial"/>
          <w:sz w:val="22"/>
        </w:rPr>
      </w:pPr>
      <w:r w:rsidRPr="00B9307E">
        <w:rPr>
          <w:rFonts w:ascii="Lato" w:hAnsi="Lato" w:cs="Arial"/>
          <w:sz w:val="22"/>
        </w:rPr>
        <w:t xml:space="preserve">You can </w:t>
      </w:r>
      <w:r w:rsidR="005F74B7" w:rsidRPr="00B9307E">
        <w:rPr>
          <w:rFonts w:ascii="Lato" w:hAnsi="Lato" w:cs="Arial"/>
          <w:sz w:val="22"/>
        </w:rPr>
        <w:t>copy and paste</w:t>
      </w:r>
      <w:r w:rsidRPr="00B9307E">
        <w:rPr>
          <w:rFonts w:ascii="Lato" w:hAnsi="Lato" w:cs="Arial"/>
          <w:sz w:val="22"/>
        </w:rPr>
        <w:t xml:space="preserve"> your Chapter news</w:t>
      </w:r>
      <w:r w:rsidR="005F74B7" w:rsidRPr="00B9307E">
        <w:rPr>
          <w:rFonts w:ascii="Lato" w:hAnsi="Lato" w:cs="Arial"/>
          <w:sz w:val="22"/>
        </w:rPr>
        <w:t xml:space="preserve"> source “then </w:t>
      </w:r>
      <w:r w:rsidR="00A07442" w:rsidRPr="00B9307E">
        <w:rPr>
          <w:rFonts w:ascii="Lato" w:hAnsi="Lato" w:cs="Arial"/>
          <w:sz w:val="22"/>
        </w:rPr>
        <w:t xml:space="preserve">site the news source (i.e. person’s name </w:t>
      </w:r>
      <w:r w:rsidR="0035366C" w:rsidRPr="00B9307E">
        <w:rPr>
          <w:rFonts w:ascii="Lato" w:hAnsi="Lato" w:cs="Arial"/>
          <w:sz w:val="22"/>
        </w:rPr>
        <w:t>and/</w:t>
      </w:r>
      <w:r w:rsidR="00A07442" w:rsidRPr="00B9307E">
        <w:rPr>
          <w:rFonts w:ascii="Lato" w:hAnsi="Lato" w:cs="Arial"/>
          <w:sz w:val="22"/>
        </w:rPr>
        <w:t xml:space="preserve">or </w:t>
      </w:r>
      <w:r w:rsidR="0035366C" w:rsidRPr="00B9307E">
        <w:rPr>
          <w:rFonts w:ascii="Lato" w:hAnsi="Lato" w:cs="Arial"/>
          <w:sz w:val="22"/>
        </w:rPr>
        <w:t>where you pulled that source)</w:t>
      </w:r>
      <w:r w:rsidR="00A07442" w:rsidRPr="00B9307E">
        <w:rPr>
          <w:rFonts w:ascii="Lato" w:hAnsi="Lato" w:cs="Arial"/>
          <w:sz w:val="22"/>
        </w:rPr>
        <w:t>”</w:t>
      </w:r>
      <w:r w:rsidR="0035366C" w:rsidRPr="00B9307E">
        <w:rPr>
          <w:rFonts w:ascii="Lato" w:hAnsi="Lato" w:cs="Arial"/>
          <w:sz w:val="22"/>
        </w:rPr>
        <w:t xml:space="preserve">; </w:t>
      </w:r>
      <w:r w:rsidR="00C5480C" w:rsidRPr="00B9307E">
        <w:rPr>
          <w:rFonts w:ascii="Lato" w:hAnsi="Lato" w:cs="Arial"/>
          <w:sz w:val="22"/>
        </w:rPr>
        <w:t>you can i</w:t>
      </w:r>
      <w:r w:rsidRPr="00B9307E">
        <w:rPr>
          <w:rFonts w:ascii="Lato" w:hAnsi="Lato" w:cs="Arial"/>
          <w:sz w:val="22"/>
        </w:rPr>
        <w:t xml:space="preserve">nclude any </w:t>
      </w:r>
      <w:r w:rsidR="00C5480C" w:rsidRPr="00B9307E">
        <w:rPr>
          <w:rFonts w:ascii="Lato" w:hAnsi="Lato" w:cs="Arial"/>
          <w:sz w:val="22"/>
        </w:rPr>
        <w:t xml:space="preserve">items of interest, special </w:t>
      </w:r>
      <w:r w:rsidR="00765B06" w:rsidRPr="00B9307E">
        <w:rPr>
          <w:rFonts w:ascii="Lato" w:hAnsi="Lato" w:cs="Arial"/>
          <w:sz w:val="22"/>
        </w:rPr>
        <w:t xml:space="preserve">programs, dates of your next </w:t>
      </w:r>
      <w:r w:rsidRPr="00B9307E">
        <w:rPr>
          <w:rFonts w:ascii="Lato" w:hAnsi="Lato" w:cs="Arial"/>
          <w:sz w:val="22"/>
        </w:rPr>
        <w:t>meeting</w:t>
      </w:r>
      <w:r w:rsidR="00765B06" w:rsidRPr="00B9307E">
        <w:rPr>
          <w:rFonts w:ascii="Lato" w:hAnsi="Lato" w:cs="Arial"/>
          <w:sz w:val="22"/>
        </w:rPr>
        <w:t>,</w:t>
      </w:r>
      <w:r w:rsidRPr="00B9307E">
        <w:rPr>
          <w:rFonts w:ascii="Lato" w:hAnsi="Lato" w:cs="Arial"/>
          <w:sz w:val="22"/>
        </w:rPr>
        <w:t xml:space="preserve"> recaps or agendas, local news, state legislative issues, and other matters for your members. </w:t>
      </w:r>
    </w:p>
    <w:p w14:paraId="07B3EF2B" w14:textId="77777777" w:rsidR="00FC0911" w:rsidRPr="00B9307E" w:rsidRDefault="00FC0911" w:rsidP="001917BB">
      <w:pPr>
        <w:rPr>
          <w:rFonts w:ascii="Lato" w:hAnsi="Lato" w:cs="Arial"/>
          <w:sz w:val="22"/>
        </w:rPr>
      </w:pPr>
    </w:p>
    <w:p w14:paraId="3EF62236" w14:textId="513FA6A6" w:rsidR="001917BB" w:rsidRPr="00B9307E" w:rsidRDefault="003A4E3A" w:rsidP="00FC0911">
      <w:pPr>
        <w:spacing w:before="8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B9307E">
        <w:rPr>
          <w:rFonts w:ascii="Lato" w:hAnsi="Lato" w:cs="Arial"/>
          <w:b/>
          <w:sz w:val="22"/>
        </w:rPr>
        <w:t>Chapters – enter title of your</w:t>
      </w:r>
      <w:r w:rsidR="00765B06" w:rsidRPr="00B9307E">
        <w:rPr>
          <w:rFonts w:ascii="Lato" w:hAnsi="Lato" w:cs="Arial"/>
          <w:b/>
          <w:sz w:val="22"/>
        </w:rPr>
        <w:t xml:space="preserve"> final </w:t>
      </w:r>
      <w:r w:rsidR="001917BB" w:rsidRPr="00B9307E">
        <w:rPr>
          <w:rFonts w:ascii="Lato" w:hAnsi="Lato" w:cs="Arial"/>
          <w:b/>
          <w:sz w:val="22"/>
        </w:rPr>
        <w:t>news item here</w:t>
      </w:r>
    </w:p>
    <w:p w14:paraId="038B520E" w14:textId="50BF2BEC" w:rsidR="001917BB" w:rsidRPr="00B9307E" w:rsidRDefault="0009054A" w:rsidP="001917BB">
      <w:pPr>
        <w:rPr>
          <w:rFonts w:ascii="Lato" w:hAnsi="Lato" w:cs="Arial"/>
          <w:sz w:val="22"/>
        </w:rPr>
      </w:pPr>
      <w:r w:rsidRPr="00B9307E">
        <w:rPr>
          <w:rFonts w:ascii="Lato" w:hAnsi="Lato" w:cs="Arial"/>
          <w:sz w:val="22"/>
        </w:rPr>
        <w:t>This item should conclude or wrap up your newsletter</w:t>
      </w:r>
      <w:r w:rsidR="004000D6" w:rsidRPr="00B9307E">
        <w:rPr>
          <w:rFonts w:ascii="Lato" w:hAnsi="Lato" w:cs="Arial"/>
          <w:sz w:val="22"/>
        </w:rPr>
        <w:t xml:space="preserve">; </w:t>
      </w:r>
      <w:r w:rsidR="006E59DA" w:rsidRPr="00B9307E">
        <w:rPr>
          <w:rFonts w:ascii="Lato" w:hAnsi="Lato" w:cs="Arial"/>
          <w:sz w:val="22"/>
        </w:rPr>
        <w:t xml:space="preserve">next, provide </w:t>
      </w:r>
      <w:r w:rsidRPr="00B9307E">
        <w:rPr>
          <w:rFonts w:ascii="Lato" w:hAnsi="Lato" w:cs="Arial"/>
          <w:sz w:val="22"/>
        </w:rPr>
        <w:t>chapter</w:t>
      </w:r>
      <w:r w:rsidR="0037323A" w:rsidRPr="00B9307E">
        <w:rPr>
          <w:rFonts w:ascii="Lato" w:hAnsi="Lato" w:cs="Arial"/>
          <w:sz w:val="22"/>
        </w:rPr>
        <w:t xml:space="preserve">’s contact information for </w:t>
      </w:r>
      <w:r w:rsidR="00E900B8" w:rsidRPr="00B9307E">
        <w:rPr>
          <w:rFonts w:ascii="Lato" w:hAnsi="Lato" w:cs="Arial"/>
          <w:sz w:val="22"/>
        </w:rPr>
        <w:t>officers, RSVP</w:t>
      </w:r>
      <w:r w:rsidR="0037323A" w:rsidRPr="00B9307E">
        <w:rPr>
          <w:rFonts w:ascii="Lato" w:hAnsi="Lato" w:cs="Arial"/>
          <w:sz w:val="22"/>
        </w:rPr>
        <w:t xml:space="preserve"> </w:t>
      </w:r>
      <w:r w:rsidR="00E900B8" w:rsidRPr="00B9307E">
        <w:rPr>
          <w:rFonts w:ascii="Lato" w:hAnsi="Lato" w:cs="Arial"/>
          <w:sz w:val="22"/>
        </w:rPr>
        <w:t>meeting (easy return form)</w:t>
      </w:r>
      <w:r w:rsidR="00D930EF" w:rsidRPr="00B9307E">
        <w:rPr>
          <w:rFonts w:ascii="Lato" w:hAnsi="Lato" w:cs="Arial"/>
          <w:sz w:val="22"/>
        </w:rPr>
        <w:t xml:space="preserve"> for special meetings you mentioned, and/or chapter enrollment form for new members.  </w:t>
      </w:r>
    </w:p>
    <w:sectPr w:rsidR="001917BB" w:rsidRPr="00B9307E" w:rsidSect="00A84661">
      <w:headerReference w:type="default" r:id="rId25"/>
      <w:footerReference w:type="defaul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2D29" w14:textId="77777777" w:rsidR="002C1228" w:rsidRDefault="002C1228" w:rsidP="00D553DE">
      <w:r>
        <w:separator/>
      </w:r>
    </w:p>
  </w:endnote>
  <w:endnote w:type="continuationSeparator" w:id="0">
    <w:p w14:paraId="5FA71C88" w14:textId="77777777" w:rsidR="002C1228" w:rsidRDefault="002C1228" w:rsidP="00D553DE">
      <w:r>
        <w:continuationSeparator/>
      </w:r>
    </w:p>
  </w:endnote>
  <w:endnote w:type="continuationNotice" w:id="1">
    <w:p w14:paraId="45D6AA83" w14:textId="77777777" w:rsidR="002C1228" w:rsidRDefault="002C1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8FDD" w14:textId="77777777" w:rsidR="002C1228" w:rsidRDefault="002C1228" w:rsidP="00D553DE">
      <w:r>
        <w:separator/>
      </w:r>
    </w:p>
  </w:footnote>
  <w:footnote w:type="continuationSeparator" w:id="0">
    <w:p w14:paraId="7B777371" w14:textId="77777777" w:rsidR="002C1228" w:rsidRDefault="002C1228" w:rsidP="00D553DE">
      <w:r>
        <w:continuationSeparator/>
      </w:r>
    </w:p>
  </w:footnote>
  <w:footnote w:type="continuationNotice" w:id="1">
    <w:p w14:paraId="555FBF14" w14:textId="77777777" w:rsidR="002C1228" w:rsidRDefault="002C1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277349BA" w:rsidR="00E8469D" w:rsidRPr="002C3C66" w:rsidRDefault="00F3010E">
    <w:pPr>
      <w:pStyle w:val="Header"/>
      <w:rPr>
        <w:rFonts w:ascii="Arial" w:hAnsi="Arial" w:cs="Arial"/>
        <w:sz w:val="24"/>
        <w:szCs w:val="24"/>
      </w:rPr>
    </w:pPr>
    <w:r>
      <w:rPr>
        <w:rFonts w:ascii="Arial" w:hAnsi="Arial" w:cs="Arial"/>
        <w:sz w:val="24"/>
        <w:szCs w:val="24"/>
      </w:rPr>
      <w:t>April</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241F"/>
    <w:multiLevelType w:val="multilevel"/>
    <w:tmpl w:val="055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07546"/>
    <w:multiLevelType w:val="multilevel"/>
    <w:tmpl w:val="C5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D1D8D"/>
    <w:multiLevelType w:val="multilevel"/>
    <w:tmpl w:val="D8D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9"/>
  </w:num>
  <w:num w:numId="2" w16cid:durableId="1737430869">
    <w:abstractNumId w:val="19"/>
  </w:num>
  <w:num w:numId="3" w16cid:durableId="531306125">
    <w:abstractNumId w:val="10"/>
  </w:num>
  <w:num w:numId="4" w16cid:durableId="1068381968">
    <w:abstractNumId w:val="20"/>
  </w:num>
  <w:num w:numId="5" w16cid:durableId="1483885103">
    <w:abstractNumId w:val="17"/>
  </w:num>
  <w:num w:numId="6" w16cid:durableId="1964772910">
    <w:abstractNumId w:val="15"/>
  </w:num>
  <w:num w:numId="7" w16cid:durableId="2012832622">
    <w:abstractNumId w:val="11"/>
  </w:num>
  <w:num w:numId="8" w16cid:durableId="847451995">
    <w:abstractNumId w:val="14"/>
  </w:num>
  <w:num w:numId="9" w16cid:durableId="127748391">
    <w:abstractNumId w:val="5"/>
  </w:num>
  <w:num w:numId="10" w16cid:durableId="75129049">
    <w:abstractNumId w:val="13"/>
  </w:num>
  <w:num w:numId="11" w16cid:durableId="7100198">
    <w:abstractNumId w:val="4"/>
  </w:num>
  <w:num w:numId="12" w16cid:durableId="1343509414">
    <w:abstractNumId w:val="6"/>
  </w:num>
  <w:num w:numId="13" w16cid:durableId="85999217">
    <w:abstractNumId w:val="16"/>
  </w:num>
  <w:num w:numId="14" w16cid:durableId="790396530">
    <w:abstractNumId w:val="8"/>
  </w:num>
  <w:num w:numId="15" w16cid:durableId="1739664901">
    <w:abstractNumId w:val="26"/>
  </w:num>
  <w:num w:numId="16" w16cid:durableId="1213929573">
    <w:abstractNumId w:val="7"/>
  </w:num>
  <w:num w:numId="17" w16cid:durableId="876116469">
    <w:abstractNumId w:val="1"/>
  </w:num>
  <w:num w:numId="18" w16cid:durableId="1116489028">
    <w:abstractNumId w:val="24"/>
  </w:num>
  <w:num w:numId="19" w16cid:durableId="1232235472">
    <w:abstractNumId w:val="0"/>
  </w:num>
  <w:num w:numId="20" w16cid:durableId="917399751">
    <w:abstractNumId w:val="22"/>
  </w:num>
  <w:num w:numId="21" w16cid:durableId="1937860250">
    <w:abstractNumId w:val="23"/>
  </w:num>
  <w:num w:numId="22" w16cid:durableId="1536574900">
    <w:abstractNumId w:val="3"/>
  </w:num>
  <w:num w:numId="23" w16cid:durableId="1675373780">
    <w:abstractNumId w:val="12"/>
  </w:num>
  <w:num w:numId="24" w16cid:durableId="12415079">
    <w:abstractNumId w:val="25"/>
  </w:num>
  <w:num w:numId="25" w16cid:durableId="759525416">
    <w:abstractNumId w:val="21"/>
  </w:num>
  <w:num w:numId="26" w16cid:durableId="507603250">
    <w:abstractNumId w:val="18"/>
  </w:num>
  <w:num w:numId="27" w16cid:durableId="1934849417">
    <w:abstractNumId w:val="2"/>
  </w:num>
  <w:num w:numId="28" w16cid:durableId="104078354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366E"/>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51C2"/>
    <w:rsid w:val="00076438"/>
    <w:rsid w:val="00077439"/>
    <w:rsid w:val="0007772D"/>
    <w:rsid w:val="00080EC9"/>
    <w:rsid w:val="00083EF4"/>
    <w:rsid w:val="000854BD"/>
    <w:rsid w:val="0009054A"/>
    <w:rsid w:val="0009111F"/>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1228"/>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4655"/>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D7C58"/>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56C2F"/>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B3E8A"/>
    <w:rsid w:val="004C0E8B"/>
    <w:rsid w:val="004C4548"/>
    <w:rsid w:val="004C4E3C"/>
    <w:rsid w:val="004C50B0"/>
    <w:rsid w:val="004C65CE"/>
    <w:rsid w:val="004C68E3"/>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EF5"/>
    <w:rsid w:val="005468D4"/>
    <w:rsid w:val="00552060"/>
    <w:rsid w:val="00553250"/>
    <w:rsid w:val="00553554"/>
    <w:rsid w:val="0055477E"/>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E07EA"/>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948F4"/>
    <w:rsid w:val="006A2628"/>
    <w:rsid w:val="006A2D05"/>
    <w:rsid w:val="006A2F0E"/>
    <w:rsid w:val="006B45A0"/>
    <w:rsid w:val="006C0695"/>
    <w:rsid w:val="006C1621"/>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B32AB"/>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33E3"/>
    <w:rsid w:val="00964102"/>
    <w:rsid w:val="0096632D"/>
    <w:rsid w:val="00967475"/>
    <w:rsid w:val="00973BE9"/>
    <w:rsid w:val="0098090B"/>
    <w:rsid w:val="00980AE2"/>
    <w:rsid w:val="00982526"/>
    <w:rsid w:val="0098255F"/>
    <w:rsid w:val="00982D9D"/>
    <w:rsid w:val="00983EF5"/>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2517"/>
    <w:rsid w:val="009C42F9"/>
    <w:rsid w:val="009C5D0B"/>
    <w:rsid w:val="009C70D9"/>
    <w:rsid w:val="009D04A9"/>
    <w:rsid w:val="009D548B"/>
    <w:rsid w:val="009D7C61"/>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2EC9"/>
    <w:rsid w:val="00AE7B09"/>
    <w:rsid w:val="00AF6058"/>
    <w:rsid w:val="00AF6A39"/>
    <w:rsid w:val="00B0015A"/>
    <w:rsid w:val="00B0399D"/>
    <w:rsid w:val="00B06996"/>
    <w:rsid w:val="00B10A6F"/>
    <w:rsid w:val="00B11DB3"/>
    <w:rsid w:val="00B162D2"/>
    <w:rsid w:val="00B17210"/>
    <w:rsid w:val="00B21D1B"/>
    <w:rsid w:val="00B23B87"/>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307E"/>
    <w:rsid w:val="00B95199"/>
    <w:rsid w:val="00B97F78"/>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40A"/>
    <w:rsid w:val="00C9480D"/>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A3"/>
    <w:rsid w:val="00D05740"/>
    <w:rsid w:val="00D073C4"/>
    <w:rsid w:val="00D108A7"/>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76C"/>
    <w:rsid w:val="00E275C7"/>
    <w:rsid w:val="00E30131"/>
    <w:rsid w:val="00E3082B"/>
    <w:rsid w:val="00E33CB3"/>
    <w:rsid w:val="00E35080"/>
    <w:rsid w:val="00E35E20"/>
    <w:rsid w:val="00E3618A"/>
    <w:rsid w:val="00E36C50"/>
    <w:rsid w:val="00E36EFF"/>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2201"/>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010E"/>
    <w:rsid w:val="00F32D41"/>
    <w:rsid w:val="00F35057"/>
    <w:rsid w:val="00F356DA"/>
    <w:rsid w:val="00F36EAF"/>
    <w:rsid w:val="00F37549"/>
    <w:rsid w:val="00F40100"/>
    <w:rsid w:val="00F40141"/>
    <w:rsid w:val="00F405D4"/>
    <w:rsid w:val="00F4165E"/>
    <w:rsid w:val="00F41CF8"/>
    <w:rsid w:val="00F44C5E"/>
    <w:rsid w:val="00F45584"/>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C4FAE"/>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01"/>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aa.org/content/publications-and-media/news-articles/2026-news-articles/reads/moaa-on-the-hill-ceo-outlines-key-priorities-at-joint-veterans-hearing/" TargetMode="External"/><Relationship Id="rId18" Type="http://schemas.openxmlformats.org/officeDocument/2006/relationships/hyperlink" Target="https://www.moaa.org/contentassets/50fcde774d144eab8447a421cd9780fe/2026-hvac-svac-testimon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aa.org/content/publications-and-media/news-articles/2026-news-articles/benefits/moaa-va-must-rescind,-not-just-halt,-new-rule-on-disability-ratings/" TargetMode="External"/><Relationship Id="rId7" Type="http://schemas.openxmlformats.org/officeDocument/2006/relationships/settings" Target="settings.xml"/><Relationship Id="rId12" Type="http://schemas.openxmlformats.org/officeDocument/2006/relationships/hyperlink" Target="https://www.moaa.org/content/publications-and-media/news-articles/2026-news-articles/spotlight/surviving-spouse-corner-strengthening-emotional-well-being/" TargetMode="External"/><Relationship Id="rId17" Type="http://schemas.openxmlformats.org/officeDocument/2006/relationships/hyperlink" Target="https://www.congress.gov/bill/119th-congress/house-bill/184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oaa.quorum.us/campaign/154789/" TargetMode="External"/><Relationship Id="rId20" Type="http://schemas.openxmlformats.org/officeDocument/2006/relationships/hyperlink" Target="https://www.moaa.org/content/publications-and-media/news-articles/2026-news-articles/reads/moaa-statement-on-va-interim-rule-regarding-disability-ra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6-news-articles/reads/moaa-on-the-hill-ceo-outlines-key-priorities-at-joint-veterans-hearing/" TargetMode="External"/><Relationship Id="rId24" Type="http://schemas.openxmlformats.org/officeDocument/2006/relationships/hyperlink" Target="https://www.moaa.org/content/publications-and-media/news-articles/2026-news-articles/benefits/healthy-living-beat-back-pain-with-a-strong-core/" TargetMode="External"/><Relationship Id="rId5" Type="http://schemas.openxmlformats.org/officeDocument/2006/relationships/numbering" Target="numbering.xml"/><Relationship Id="rId15" Type="http://schemas.openxmlformats.org/officeDocument/2006/relationships/hyperlink" Target="https://www.moaa.org/content/publications-and-media/news-articles/2026-news-articles/advocacy/caregiver-bill-advances/" TargetMode="External"/><Relationship Id="rId23" Type="http://schemas.openxmlformats.org/officeDocument/2006/relationships/hyperlink" Target="https://www.moaa.org/takeac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ulations.gov/document/VA-2026-VBA-0067-0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aa.org/content/publications-and-media/news-articles/2026-news-articles/advocacy/stop-va-claim-sharks-why-moaa-is-taking-the-guard-va-benefits-act-to-capitol-hill/" TargetMode="External"/><Relationship Id="rId22" Type="http://schemas.openxmlformats.org/officeDocument/2006/relationships/hyperlink" Target="https://www.moaa.org/content/publications-and-media/news-articles/2026-news-articles/benefits/breaking-down-the-disability-compensation-proces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1D01-E4A4-479C-8B7B-8763B74B7ED5}">
  <ds:schemaRefs>
    <ds:schemaRef ds:uri="http://schemas.microsoft.com/sharepoint/v3/contenttype/forms"/>
  </ds:schemaRefs>
</ds:datastoreItem>
</file>

<file path=customXml/itemProps2.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4.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11368</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Kevin Lilley</cp:lastModifiedBy>
  <cp:revision>12</cp:revision>
  <cp:lastPrinted>2019-12-23T17:57:00Z</cp:lastPrinted>
  <dcterms:created xsi:type="dcterms:W3CDTF">2026-03-18T16:59:00Z</dcterms:created>
  <dcterms:modified xsi:type="dcterms:W3CDTF">2026-04-06T12:40:00Z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